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CB9D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"/>
        </w:rPr>
        <w:t>导师答辩资格审核（2025）</w:t>
      </w:r>
    </w:p>
    <w:p w14:paraId="5A6124E5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学生提交论文后，系统即进行论文查重检测，在查重报告出来后，导师可进行答辩资格审核等操作，以及答辩后论文最终版的审核工作。</w:t>
      </w:r>
    </w:p>
    <w:p w14:paraId="394B52B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59620D94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160" w:leftChars="0" w:right="0" w:firstLine="0" w:firstLineChars="0"/>
        <w:jc w:val="both"/>
        <w:rPr>
          <w:rFonts w:hint="eastAsia" w:ascii="仿宋_GB2312" w:hAnsi="Calibri" w:eastAsia="仿宋_GB2312" w:cs="仿宋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kern w:val="2"/>
          <w:sz w:val="32"/>
          <w:szCs w:val="32"/>
          <w:lang w:val="en-US" w:eastAsia="zh-CN" w:bidi="ar"/>
        </w:rPr>
        <w:t>查看检测结果</w:t>
      </w:r>
    </w:p>
    <w:p w14:paraId="220BAE81"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论文检测结果出来后，导师可在列表页面直接查看结果，或在右侧操作项选择“检测结果”查看详情，或选择“生成报告单”下载查看详细情况。如下二图：</w:t>
      </w:r>
    </w:p>
    <w:p w14:paraId="61650284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default" w:ascii="Times New Roman" w:hAnsi="Times New Roman" w:eastAsia="宋体" w:cs="Times New Roman"/>
          <w:kern w:val="2"/>
          <w:sz w:val="28"/>
          <w:szCs w:val="28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drawing>
          <wp:inline distT="0" distB="0" distL="114300" distR="114300">
            <wp:extent cx="5398135" cy="2821305"/>
            <wp:effectExtent l="0" t="0" r="12065" b="10795"/>
            <wp:docPr id="6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8135" cy="2821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65A43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420833C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审核详情页面，也可以查看检测结果和下载报告单。</w:t>
      </w:r>
    </w:p>
    <w:p w14:paraId="199CC3F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8"/>
          <w:szCs w:val="28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drawing>
          <wp:inline distT="0" distB="0" distL="114300" distR="114300">
            <wp:extent cx="5219065" cy="2014855"/>
            <wp:effectExtent l="0" t="0" r="635" b="4445"/>
            <wp:docPr id="7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065" cy="2014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2F22E93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4A82909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hint="eastAsia" w:asci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2"/>
          <w:sz w:val="32"/>
          <w:szCs w:val="32"/>
          <w:lang w:val="en-US" w:eastAsia="zh-CN" w:bidi="ar"/>
        </w:rPr>
        <w:t>2.答辩资格审核</w:t>
      </w:r>
    </w:p>
    <w:p w14:paraId="7AA27DD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审阅论文检测报告后，导师可在“毕业论文详情”页面填写导师意见（论文评语）、审核意见，给出指导成绩，选择“提交”即完成论文答辩资格审核。</w:t>
      </w:r>
      <w:r>
        <w:rPr>
          <w:rFonts w:hint="eastAsia" w:ascii="仿宋_GB2312" w:hAnsi="Calibri" w:eastAsia="仿宋_GB2312" w:cs="仿宋_GB2312"/>
          <w:b/>
          <w:bCs/>
          <w:color w:val="FF0000"/>
          <w:kern w:val="2"/>
          <w:sz w:val="32"/>
          <w:szCs w:val="32"/>
          <w:lang w:val="en-US" w:eastAsia="zh-CN" w:bidi="ar"/>
        </w:rPr>
        <w:t>指导意见请从学院毕设细则中论文评阅标准的各方面展开，体现指导成绩给分的理由，不能简单填写“同意”“同意答辩”等。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如导师选择“不通过”，需学生用第2次查重机会重新上传论文，导师重复以上查阅、确认检测及审核流程。如图：</w:t>
      </w:r>
    </w:p>
    <w:p w14:paraId="41FDD44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 w14:paraId="3DB79D0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drawing>
          <wp:inline distT="0" distB="0" distL="114300" distR="114300">
            <wp:extent cx="6014085" cy="2720975"/>
            <wp:effectExtent l="0" t="0" r="5715" b="9525"/>
            <wp:docPr id="2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IMG_262"/>
                    <pic:cNvPicPr>
                      <a:picLocks noChangeAspect="1"/>
                    </pic:cNvPicPr>
                  </pic:nvPicPr>
                  <pic:blipFill>
                    <a:blip r:embed="rId6"/>
                    <a:srcRect r="8737"/>
                    <a:stretch>
                      <a:fillRect/>
                    </a:stretch>
                  </pic:blipFill>
                  <pic:spPr>
                    <a:xfrm>
                      <a:off x="0" y="0"/>
                      <a:ext cx="6014085" cy="272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98A683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5F89727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导师审核通过后，在主管教学领导未审核前，导师可在审核详情页“</w:t>
      </w:r>
      <w:r>
        <w:rPr>
          <w:rFonts w:hint="eastAsia" w:ascii="仿宋_GB2312" w:hAnsi="Calibri" w:eastAsia="仿宋_GB2312" w:cs="仿宋_GB2312"/>
          <w:b/>
          <w:bCs/>
          <w:kern w:val="2"/>
          <w:sz w:val="32"/>
          <w:szCs w:val="32"/>
          <w:lang w:val="en-US" w:eastAsia="zh-CN" w:bidi="ar"/>
        </w:rPr>
        <w:t>修改审核状态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”，将审核“通过”改为“不通过”。如导师提交审核后仍需完善意见内容，可在审核页面点击“</w:t>
      </w:r>
      <w:r>
        <w:rPr>
          <w:rFonts w:hint="eastAsia" w:ascii="仿宋_GB2312" w:hAnsi="Calibri" w:eastAsia="仿宋_GB2312" w:cs="仿宋_GB2312"/>
          <w:b/>
          <w:bCs/>
          <w:kern w:val="2"/>
          <w:sz w:val="32"/>
          <w:szCs w:val="32"/>
          <w:lang w:val="en-US" w:eastAsia="zh-CN" w:bidi="ar"/>
        </w:rPr>
        <w:t>修改审核内容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”继续完善。“修改审核内容”功能持续开放，不受下一级审核的限制。如图：</w:t>
      </w:r>
    </w:p>
    <w:p w14:paraId="5A0CBE6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left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3C7D915E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drawing>
          <wp:inline distT="0" distB="0" distL="114300" distR="114300">
            <wp:extent cx="5511165" cy="2619375"/>
            <wp:effectExtent l="0" t="0" r="635" b="9525"/>
            <wp:docPr id="5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IMG_2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116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ED2EB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B9E3EA6-EE3A-41EA-845E-A5F7899C477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2314B6D-09BE-4DCD-8AB1-FAC418D625F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A93C99D-A8DB-439E-8AA8-1B9E2629281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8E028F"/>
    <w:multiLevelType w:val="singleLevel"/>
    <w:tmpl w:val="9E8E028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8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2025-04-23T02:41:06Z</dcterms:created>
  <dc:creator>理学院</dc:creator>
  <cp:lastModifiedBy>Lin</cp:lastModifiedBy>
  <dcterms:modified xsi:type="dcterms:W3CDTF">2025-04-23T02:45:03Z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eyJoZGlkIjoiZDEzNzhjZDYzNjg1NzhlZmExYWEzNDhlZWQxMjgwYTMiLCJ1c2VySWQiOiIyNDg3MDk3MzEifQ==</vt:lpwstr>
  </property>
  <property fmtid="{D5CDD505-2E9C-101B-9397-08002B2CF9AE}" pid="4" name="ICV">
    <vt:lpwstr>1D1BEC1F24E54458A97CE532BB80FF8D_12</vt:lpwstr>
  </property>
</Properties>
</file>