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A1CB">
      <w:pPr>
        <w:widowControl/>
        <w:spacing w:after="160" w:line="259" w:lineRule="auto"/>
        <w:jc w:val="distribute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eastAsia="等线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862965</wp:posOffset>
                </wp:positionV>
                <wp:extent cx="6155055" cy="50800"/>
                <wp:effectExtent l="0" t="13970" r="4445" b="114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15pt;margin-top:67.95pt;height:4pt;width:484.65pt;z-index:251659264;mso-width-relative:page;mso-height-relative:page;" coordorigin="1238,3498" coordsize="9693,80" o:gfxdata="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x+NaV2wAAAAsBAAAP&#10;AAAAAAAAAAEAIAAAACIAAABkcnMvZG93bnJldi54bWxQSwECFAAUAAAACACHTuJA86IR1YcCAAAe&#10;BwAADgAAAAAAAAABACAAAAAqAQAAZHJzL2Uyb0RvYy54bWxQSwUGAAAAAAYABgBZAQAAIwYAAAAA&#10;">
                <o:lock v:ext="edit" aspectratio="f"/>
                <v:line id="_x0000_s1026" o:spid="_x0000_s1026" o:spt="20" style="position:absolute;left:1238;top:3498;height:0;width:9693;" filled="f" stroked="t" coordsize="21600,21600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238;top:3578;height:0;width:9693;" filled="f" stroked="t" coordsize="21600,21600" o:gfxdata="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NlP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等线" w:hAnsi="等线" w:eastAsia="方正小标宋简体"/>
          <w:bCs/>
          <w:color w:val="FF0000"/>
          <w:w w:val="87"/>
          <w:kern w:val="0"/>
          <w:sz w:val="92"/>
          <w:szCs w:val="92"/>
        </w:rPr>
        <w:t>中山大学理学院</w:t>
      </w:r>
    </w:p>
    <w:p w14:paraId="3BA10D42">
      <w:pPr>
        <w:snapToGrid w:val="0"/>
        <w:spacing w:line="560" w:lineRule="exact"/>
        <w:jc w:val="right"/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理学〔202</w:t>
      </w:r>
      <w:r>
        <w:rPr>
          <w:rFonts w:hint="eastAsia" w:ascii="仿宋_GB2312" w:hAnsi="Calibri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Calibri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 xml:space="preserve">号  </w:t>
      </w:r>
      <w:r>
        <w:rPr>
          <w:rFonts w:hint="eastAsia"/>
          <w:sz w:val="32"/>
        </w:rPr>
        <w:t xml:space="preserve">                     </w:t>
      </w:r>
    </w:p>
    <w:p w14:paraId="2C867206">
      <w:pPr>
        <w:adjustRightInd w:val="0"/>
        <w:snapToGrid w:val="0"/>
        <w:spacing w:line="560" w:lineRule="exact"/>
        <w:ind w:right="1440" w:firstLine="281" w:firstLineChars="88"/>
        <w:rPr>
          <w:sz w:val="32"/>
        </w:rPr>
      </w:pPr>
    </w:p>
    <w:p w14:paraId="3A74AAF8">
      <w:pPr>
        <w:pStyle w:val="14"/>
        <w:spacing w:line="560" w:lineRule="exact"/>
        <w:ind w:left="0" w:leftChars="0" w:firstLine="0" w:firstLineChars="0"/>
        <w:jc w:val="center"/>
        <w:outlineLvl w:val="1"/>
      </w:pPr>
      <w:r>
        <w:rPr>
          <w:rFonts w:hint="eastAsia"/>
        </w:rPr>
        <w:t>关于印发《理学院本科毕业论文（设计）工作管理细则》的通知</w:t>
      </w:r>
    </w:p>
    <w:p w14:paraId="28CFC8B5">
      <w:pPr>
        <w:spacing w:line="560" w:lineRule="exact"/>
        <w:rPr>
          <w:sz w:val="32"/>
          <w:szCs w:val="32"/>
        </w:rPr>
      </w:pPr>
    </w:p>
    <w:p w14:paraId="46538EB6">
      <w:pPr>
        <w:spacing w:line="540" w:lineRule="exact"/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学院各部门：</w:t>
      </w:r>
    </w:p>
    <w:p w14:paraId="0E96B67C">
      <w:pPr>
        <w:pStyle w:val="14"/>
        <w:spacing w:line="540" w:lineRule="exact"/>
        <w:ind w:firstLine="640" w:firstLineChars="200"/>
        <w:jc w:val="left"/>
        <w:outlineLvl w:val="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《理学院本科毕业论文（设计）工作管理细则》经理学院直属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党支部委员会（202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次）</w:t>
      </w:r>
      <w:r>
        <w:rPr>
          <w:rFonts w:hint="eastAsia" w:ascii="仿宋_GB2312" w:eastAsia="仿宋_GB2312"/>
          <w:sz w:val="32"/>
        </w:rPr>
        <w:t>、学院党政联席会议（202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年第</w:t>
      </w:r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次）审议通过，原《中山大学理学院本科生毕业论文工作管理细则》（理学〔2024〕18号）同时废止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现予以印发。</w:t>
      </w:r>
    </w:p>
    <w:p w14:paraId="46E368C5">
      <w:pPr>
        <w:pStyle w:val="14"/>
        <w:spacing w:line="540" w:lineRule="exact"/>
        <w:ind w:firstLine="640" w:firstLineChars="200"/>
        <w:jc w:val="left"/>
        <w:outlineLvl w:val="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请遵照执行。</w:t>
      </w:r>
    </w:p>
    <w:p w14:paraId="1D373079">
      <w:pPr>
        <w:widowControl/>
        <w:spacing w:line="540" w:lineRule="exact"/>
        <w:rPr>
          <w:sz w:val="32"/>
        </w:rPr>
      </w:pPr>
    </w:p>
    <w:p w14:paraId="694B62CD">
      <w:pPr>
        <w:widowControl/>
        <w:spacing w:line="54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 xml:space="preserve">附件: </w:t>
      </w:r>
    </w:p>
    <w:p w14:paraId="68D4292A">
      <w:pPr>
        <w:widowControl/>
        <w:spacing w:line="540" w:lineRule="exact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理学院本科毕业论文（设计）工作管理细则</w:t>
      </w:r>
    </w:p>
    <w:p w14:paraId="63E7E3BF">
      <w:pPr>
        <w:widowControl/>
        <w:spacing w:line="540" w:lineRule="exact"/>
        <w:ind w:firstLine="640" w:firstLineChars="200"/>
        <w:rPr>
          <w:rFonts w:hint="eastAsia"/>
          <w:sz w:val="32"/>
        </w:rPr>
      </w:pPr>
    </w:p>
    <w:p w14:paraId="57A4CD6A">
      <w:pPr>
        <w:widowControl/>
        <w:spacing w:line="540" w:lineRule="exact"/>
        <w:ind w:firstLine="640" w:firstLineChars="200"/>
        <w:rPr>
          <w:rFonts w:hint="eastAsia"/>
          <w:sz w:val="32"/>
        </w:rPr>
      </w:pPr>
    </w:p>
    <w:p w14:paraId="2E3C1E41">
      <w:pPr>
        <w:spacing w:line="540" w:lineRule="exact"/>
        <w:ind w:firstLine="5760" w:firstLineChars="18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中山大学理学院</w:t>
      </w:r>
    </w:p>
    <w:p w14:paraId="53616FF7">
      <w:pPr>
        <w:spacing w:line="540" w:lineRule="exact"/>
        <w:ind w:firstLine="5760" w:firstLineChars="1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36D8614">
      <w:pPr>
        <w:spacing w:line="560" w:lineRule="exact"/>
        <w:ind w:firstLine="0" w:firstLineChars="0"/>
        <w:jc w:val="both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sectPr>
          <w:footerReference r:id="rId5" w:type="default"/>
          <w:pgSz w:w="11906" w:h="16838"/>
          <w:pgMar w:top="2098" w:right="1800" w:bottom="2041" w:left="1587" w:header="851" w:footer="992" w:gutter="0"/>
          <w:cols w:space="425" w:num="1"/>
          <w:docGrid w:type="lines" w:linePitch="312" w:charSpace="0"/>
        </w:sectPr>
      </w:pPr>
    </w:p>
    <w:p w14:paraId="1EC9F2A4">
      <w:pPr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理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学院本科毕业论文（设计）</w:t>
      </w:r>
    </w:p>
    <w:p w14:paraId="26DCF065">
      <w:pPr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工作管理细则</w:t>
      </w:r>
    </w:p>
    <w:p w14:paraId="4607F49E">
      <w:pPr>
        <w:pStyle w:val="2"/>
        <w:spacing w:before="0" w:beforeLines="0" w:after="0" w:afterLines="0"/>
        <w:rPr>
          <w:rFonts w:ascii="Times New Roman" w:hAnsi="Times New Roman" w:cs="Times New Roman"/>
          <w:color w:val="auto"/>
          <w:highlight w:val="none"/>
        </w:rPr>
      </w:pPr>
    </w:p>
    <w:p w14:paraId="753CACCA">
      <w:pPr>
        <w:numPr>
          <w:ilvl w:val="255"/>
          <w:numId w:val="0"/>
        </w:numPr>
        <w:ind w:firstLine="643" w:firstLineChars="200"/>
        <w:rPr>
          <w:color w:val="auto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第一条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Cs w:val="32"/>
          <w:highlight w:val="none"/>
        </w:rPr>
        <w:t>为进一步规范我院本科毕业论文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（含毕业设计，下同）</w:t>
      </w:r>
      <w:r>
        <w:rPr>
          <w:rFonts w:ascii="Times New Roman" w:hAnsi="Times New Roman" w:cs="Times New Roman"/>
          <w:color w:val="auto"/>
          <w:szCs w:val="32"/>
          <w:highlight w:val="none"/>
        </w:rPr>
        <w:t>工作，确保毕业论文质量，根据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物理学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专业类</w:t>
      </w:r>
      <w:r>
        <w:rPr>
          <w:rFonts w:hint="eastAsia" w:ascii="仿宋_GB2312"/>
          <w:color w:val="auto"/>
          <w:szCs w:val="32"/>
          <w:highlight w:val="none"/>
        </w:rPr>
        <w:t>教学质量国家标准及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《中山大学本科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教学管理规定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》</w:t>
      </w:r>
      <w:r>
        <w:rPr>
          <w:rFonts w:ascii="Times New Roman" w:hAnsi="Times New Roman" w:cs="Times New Roman"/>
          <w:color w:val="auto"/>
          <w:highlight w:val="none"/>
        </w:rPr>
        <w:t>文件要求，结合</w:t>
      </w:r>
      <w:r>
        <w:rPr>
          <w:rFonts w:ascii="Times New Roman" w:hAnsi="Times New Roman" w:cs="Times New Roman"/>
          <w:color w:val="auto"/>
          <w:szCs w:val="32"/>
          <w:highlight w:val="none"/>
        </w:rPr>
        <w:t>学院实际情况，制定本细则。</w:t>
      </w:r>
    </w:p>
    <w:p w14:paraId="0B22D526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二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毕业论文工作一般安排在本科阶段最后一学年，各项工作时间安排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大致</w:t>
      </w:r>
      <w:r>
        <w:rPr>
          <w:rFonts w:ascii="Times New Roman" w:hAnsi="Times New Roman" w:cs="Times New Roman"/>
          <w:color w:val="auto"/>
          <w:szCs w:val="32"/>
          <w:highlight w:val="none"/>
        </w:rPr>
        <w:t>如下：</w:t>
      </w:r>
    </w:p>
    <w:p w14:paraId="56C90E52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11月中旬前：师生互选，完成选题工作并开题；</w:t>
      </w:r>
    </w:p>
    <w:p w14:paraId="448E0EFA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2月前：学院完成毕业论文开题报告及审核工作；</w:t>
      </w:r>
    </w:p>
    <w:p w14:paraId="70832254">
      <w:pPr>
        <w:ind w:firstLine="643"/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3月前：学院完成论文中期检查；</w:t>
      </w:r>
    </w:p>
    <w:p w14:paraId="78A1F586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4月末：学院完成论文规范性检测（查重）、答辩资格审核及答辩安排工作；</w:t>
      </w:r>
    </w:p>
    <w:p w14:paraId="456FA00C">
      <w:pPr>
        <w:ind w:firstLine="643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5月初：学院完成论文答辩工作、答辩及论文成绩录入、推荐校级优秀论文等工作；</w:t>
      </w:r>
    </w:p>
    <w:p w14:paraId="5BCDD441">
      <w:pPr>
        <w:ind w:left="640" w:leftChars="200" w:firstLine="0" w:firstLineChars="0"/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5月中旬-6月：学院完成论文终稿及过程性材料归档工作。</w:t>
      </w:r>
    </w:p>
    <w:p w14:paraId="2C444C53">
      <w:pPr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三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每位导师所指导的学生，原则上不超过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zCs w:val="32"/>
          <w:highlight w:val="none"/>
        </w:rPr>
        <w:t>人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，导师是毕业论文的第一责任人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</w:p>
    <w:p w14:paraId="1E2B8519">
      <w:pPr>
        <w:numPr>
          <w:ilvl w:val="255"/>
          <w:numId w:val="0"/>
        </w:numPr>
        <w:ind w:firstLine="640"/>
        <w:rPr>
          <w:rFonts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</w:rPr>
        <w:t>四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选题应与本专业一致，一人一题，鼓励以导师的科研项目作为选题方向，不能为综述类课题。</w:t>
      </w:r>
      <w:r>
        <w:rPr>
          <w:rFonts w:hint="eastAsia"/>
          <w:color w:val="auto"/>
          <w:highlight w:val="none"/>
        </w:rPr>
        <w:t>选题</w:t>
      </w:r>
      <w:r>
        <w:rPr>
          <w:rFonts w:ascii="Times New Roman" w:hAnsi="Times New Roman" w:cs="Times New Roman"/>
          <w:color w:val="auto"/>
          <w:szCs w:val="32"/>
          <w:highlight w:val="none"/>
        </w:rPr>
        <w:t>经学院审批后实施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</w:t>
      </w:r>
      <w:r>
        <w:rPr>
          <w:rFonts w:ascii="Times New Roman" w:hAnsi="Times New Roman" w:cs="Times New Roman"/>
          <w:bCs/>
          <w:color w:val="auto"/>
          <w:szCs w:val="32"/>
          <w:highlight w:val="none"/>
        </w:rPr>
        <w:t>一经确定不可随意更改。确有变更必要的，由学生在毕设系统提出申请，经</w:t>
      </w:r>
      <w:r>
        <w:rPr>
          <w:rFonts w:hint="eastAsia" w:ascii="Times New Roman" w:hAnsi="Times New Roman" w:cs="Times New Roman"/>
          <w:bCs/>
          <w:color w:val="auto"/>
          <w:szCs w:val="32"/>
          <w:highlight w:val="none"/>
        </w:rPr>
        <w:t>导师</w:t>
      </w:r>
      <w:r>
        <w:rPr>
          <w:rFonts w:ascii="Times New Roman" w:hAnsi="Times New Roman" w:cs="Times New Roman"/>
          <w:bCs/>
          <w:color w:val="auto"/>
          <w:szCs w:val="32"/>
          <w:highlight w:val="none"/>
        </w:rPr>
        <w:t>审核同意后提交学院审核。</w:t>
      </w:r>
    </w:p>
    <w:p w14:paraId="50C9BBB9">
      <w:pPr>
        <w:numPr>
          <w:ilvl w:val="255"/>
          <w:numId w:val="0"/>
        </w:numPr>
        <w:ind w:firstLine="640"/>
        <w:rPr>
          <w:rFonts w:hint="eastAsia" w:ascii="Times New Roman" w:hAnsi="Times New Roman" w:eastAsia="仿宋_GB2312" w:cs="Times New Roman"/>
          <w:bCs/>
          <w:color w:val="auto"/>
          <w:szCs w:val="32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论文题目</w:t>
      </w:r>
      <w:r>
        <w:rPr>
          <w:rFonts w:ascii="Times New Roman" w:hAnsi="Times New Roman" w:cs="Times New Roman"/>
          <w:color w:val="auto"/>
          <w:szCs w:val="32"/>
          <w:highlight w:val="none"/>
        </w:rPr>
        <w:t>应以简短、明确的词语恰当概括毕业论文的核心内容，避免使用不常见的缩略词、缩写字，避免表述过于宽泛，必要时可增加副标题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</w:p>
    <w:p w14:paraId="62AD593E">
      <w:pPr>
        <w:numPr>
          <w:ilvl w:val="255"/>
          <w:numId w:val="0"/>
        </w:numPr>
        <w:ind w:firstLine="643"/>
        <w:rPr>
          <w:rFonts w:ascii="Times New Roman" w:hAnsi="Times New Roman" w:cs="Times New Roman"/>
          <w:bCs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</w:rPr>
        <w:t>五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 xml:space="preserve">条 </w:t>
      </w:r>
      <w:r>
        <w:rPr>
          <w:color w:val="auto"/>
          <w:highlight w:val="none"/>
        </w:rPr>
        <w:t>开题报告</w:t>
      </w:r>
      <w:r>
        <w:rPr>
          <w:rFonts w:hint="eastAsia"/>
          <w:color w:val="auto"/>
          <w:highlight w:val="none"/>
          <w:lang w:val="en-US" w:eastAsia="zh-CN"/>
        </w:rPr>
        <w:t>主要对毕业论文的研究背景、选题依据、选题的目的与意义、研究思路、研究内容、研究方法和技术路线、研究进度安排等内容进行论证。开题报告应包含文献综述。开题报告需向学院进行开题汇报，成员由包括导师在内的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3-5</w:t>
      </w:r>
      <w:r>
        <w:rPr>
          <w:rFonts w:hint="eastAsia"/>
          <w:color w:val="auto"/>
          <w:highlight w:val="none"/>
          <w:lang w:val="en-US" w:eastAsia="zh-CN"/>
        </w:rPr>
        <w:t>人组成，对开题报告提出意见或修改建议。开题报告</w:t>
      </w:r>
      <w:r>
        <w:rPr>
          <w:color w:val="auto"/>
          <w:highlight w:val="none"/>
        </w:rPr>
        <w:t>经导师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学院分管领导、二级党组织审核通过</w:t>
      </w:r>
      <w:r>
        <w:rPr>
          <w:color w:val="auto"/>
          <w:highlight w:val="none"/>
        </w:rPr>
        <w:t>后，方可进入实施阶段</w:t>
      </w:r>
      <w:r>
        <w:rPr>
          <w:rFonts w:hint="eastAsia"/>
          <w:color w:val="auto"/>
          <w:highlight w:val="none"/>
        </w:rPr>
        <w:t>。已审批</w:t>
      </w:r>
      <w:r>
        <w:rPr>
          <w:color w:val="auto"/>
          <w:highlight w:val="none"/>
        </w:rPr>
        <w:t>通过的开题报告需修改</w:t>
      </w:r>
      <w:r>
        <w:rPr>
          <w:rFonts w:hint="eastAsia"/>
          <w:color w:val="auto"/>
          <w:highlight w:val="none"/>
        </w:rPr>
        <w:t>的</w:t>
      </w:r>
      <w:r>
        <w:rPr>
          <w:color w:val="auto"/>
          <w:highlight w:val="none"/>
        </w:rPr>
        <w:t>，</w:t>
      </w:r>
      <w:r>
        <w:rPr>
          <w:rFonts w:hint="eastAsia"/>
          <w:color w:val="auto"/>
          <w:highlight w:val="none"/>
        </w:rPr>
        <w:t>应</w:t>
      </w:r>
      <w:r>
        <w:rPr>
          <w:color w:val="auto"/>
          <w:highlight w:val="none"/>
        </w:rPr>
        <w:t>重新履行</w:t>
      </w:r>
      <w:r>
        <w:rPr>
          <w:rFonts w:hint="eastAsia"/>
          <w:color w:val="auto"/>
          <w:highlight w:val="none"/>
        </w:rPr>
        <w:t>审批</w:t>
      </w:r>
      <w:r>
        <w:rPr>
          <w:color w:val="auto"/>
          <w:highlight w:val="none"/>
        </w:rPr>
        <w:t>程序</w:t>
      </w:r>
      <w:r>
        <w:rPr>
          <w:rFonts w:hint="eastAsia"/>
          <w:color w:val="auto"/>
          <w:highlight w:val="none"/>
        </w:rPr>
        <w:t>。</w:t>
      </w:r>
    </w:p>
    <w:p w14:paraId="0C4D2CFF">
      <w:pPr>
        <w:numPr>
          <w:ilvl w:val="255"/>
          <w:numId w:val="0"/>
        </w:numPr>
        <w:ind w:firstLine="643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</w:rPr>
        <w:t>六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学生应按开题计划推进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论文</w:t>
      </w:r>
      <w:r>
        <w:rPr>
          <w:rFonts w:ascii="Times New Roman" w:hAnsi="Times New Roman" w:cs="Times New Roman"/>
          <w:color w:val="auto"/>
          <w:szCs w:val="32"/>
          <w:highlight w:val="none"/>
        </w:rPr>
        <w:t>研究，主动联系导师汇报进展和存在问题。开题后至评阅前，导师对学生的指导应不少于3次。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学院组织</w:t>
      </w:r>
      <w:r>
        <w:rPr>
          <w:rFonts w:ascii="Times New Roman" w:hAnsi="Times New Roman" w:cs="Times New Roman"/>
          <w:color w:val="auto"/>
          <w:szCs w:val="32"/>
          <w:highlight w:val="none"/>
        </w:rPr>
        <w:t>导师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对</w:t>
      </w:r>
      <w:r>
        <w:rPr>
          <w:rFonts w:ascii="Times New Roman" w:hAnsi="Times New Roman" w:cs="Times New Roman"/>
          <w:color w:val="auto"/>
          <w:szCs w:val="32"/>
          <w:highlight w:val="none"/>
        </w:rPr>
        <w:t>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进行</w:t>
      </w:r>
      <w:r>
        <w:rPr>
          <w:rFonts w:ascii="Times New Roman" w:hAnsi="Times New Roman" w:cs="Times New Roman"/>
          <w:color w:val="auto"/>
          <w:szCs w:val="32"/>
          <w:highlight w:val="none"/>
        </w:rPr>
        <w:t>中期检查。</w:t>
      </w:r>
    </w:p>
    <w:p w14:paraId="788967DF">
      <w:pPr>
        <w:numPr>
          <w:ilvl w:val="255"/>
          <w:numId w:val="0"/>
        </w:numPr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毕业论文应论点突出，论据充分，论证严密，数据翔实，结论合理，层次分明，图表清晰，格式规范，文字通顺，应包含实验数据、问卷调研、社会调研或文献调研等实质性内容。论文正文部分一般不少于8000字。</w:t>
      </w:r>
      <w:r>
        <w:rPr>
          <w:rFonts w:ascii="Times New Roman" w:hAnsi="Times New Roman" w:cs="Times New Roman"/>
          <w:color w:val="auto"/>
          <w:szCs w:val="32"/>
          <w:highlight w:val="none"/>
        </w:rPr>
        <w:t>论文格式参照《中山大学本科毕业论文（设计）写作与印制规范》执行。</w:t>
      </w:r>
    </w:p>
    <w:p w14:paraId="1F9BFC2C">
      <w:pPr>
        <w:numPr>
          <w:ilvl w:val="255"/>
          <w:numId w:val="0"/>
        </w:numPr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>八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在答辩前必须通过重合率检测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。查重率高于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15%</w:t>
      </w:r>
      <w:r>
        <w:rPr>
          <w:rFonts w:ascii="Times New Roman" w:hAnsi="Times New Roman" w:cs="Times New Roman"/>
          <w:color w:val="auto"/>
          <w:szCs w:val="32"/>
          <w:highlight w:val="none"/>
        </w:rPr>
        <w:t>的，学生应在导师指导下修改论文重新提交、检测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；</w:t>
      </w:r>
      <w:r>
        <w:rPr>
          <w:rFonts w:ascii="Times New Roman" w:hAnsi="Times New Roman" w:cs="Times New Roman"/>
          <w:color w:val="auto"/>
          <w:szCs w:val="32"/>
          <w:highlight w:val="none"/>
        </w:rPr>
        <w:t>再次查重超过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15%</w:t>
      </w:r>
      <w:r>
        <w:rPr>
          <w:rFonts w:ascii="Times New Roman" w:hAnsi="Times New Roman" w:cs="Times New Roman"/>
          <w:color w:val="auto"/>
          <w:szCs w:val="32"/>
          <w:highlight w:val="none"/>
        </w:rPr>
        <w:t>的，应重新开展论文相关工作，延期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答辩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。论文重合率低于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15%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后</w:t>
      </w:r>
      <w:r>
        <w:rPr>
          <w:rFonts w:ascii="Times New Roman" w:hAnsi="Times New Roman" w:cs="Times New Roman"/>
          <w:color w:val="auto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可进行答辩资格审核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</w:p>
    <w:p w14:paraId="666B3D0D">
      <w:pPr>
        <w:numPr>
          <w:ilvl w:val="255"/>
          <w:numId w:val="0"/>
        </w:numPr>
        <w:ind w:firstLine="643" w:firstLineChars="200"/>
        <w:rPr>
          <w:rFonts w:ascii="Times New Roman" w:hAnsi="Times New Roman" w:cs="Times New Roman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九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</w:rPr>
        <w:t>毕业论文经导师、院系分管教学领导及二级党组织审核通过后，方可进入答辩。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学院对全院毕业论文进行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32"/>
          <w:highlight w:val="none"/>
        </w:rPr>
        <w:t>抽检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32"/>
          <w:highlight w:val="none"/>
        </w:rPr>
        <w:t>抽检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结果向各系及指导教师反馈。对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32"/>
          <w:highlight w:val="none"/>
        </w:rPr>
        <w:t>抽检结果为</w:t>
      </w:r>
      <w:r>
        <w:rPr>
          <w:rFonts w:ascii="Times New Roman" w:hAnsi="Times New Roman" w:cs="Times New Roman"/>
          <w:snapToGrid w:val="0"/>
          <w:color w:val="auto"/>
          <w:kern w:val="0"/>
          <w:szCs w:val="32"/>
          <w:highlight w:val="none"/>
        </w:rPr>
        <w:t>不合格者，学院将根据实际情况作出论文修改、延迟答辩等处理。</w:t>
      </w:r>
      <w:r>
        <w:rPr>
          <w:rFonts w:ascii="Times New Roman" w:hAnsi="Times New Roman" w:cs="Times New Roman"/>
          <w:color w:val="auto"/>
          <w:kern w:val="0"/>
          <w:szCs w:val="32"/>
          <w:highlight w:val="none"/>
        </w:rPr>
        <w:t>具体评阅标准如下：</w:t>
      </w:r>
    </w:p>
    <w:p w14:paraId="1182A3B4">
      <w:pPr>
        <w:numPr>
          <w:ilvl w:val="255"/>
          <w:numId w:val="0"/>
        </w:numPr>
        <w:ind w:firstLine="640" w:firstLineChars="200"/>
        <w:rPr>
          <w:rFonts w:ascii="Times New Roman" w:hAnsi="Times New Roman" w:cs="Times New Roman"/>
          <w:color w:val="auto"/>
          <w:kern w:val="0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788"/>
        <w:gridCol w:w="1630"/>
      </w:tblGrid>
      <w:tr w14:paraId="4304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6" w:type="dxa"/>
          </w:tcPr>
          <w:p w14:paraId="488F3B24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88" w:type="dxa"/>
          </w:tcPr>
          <w:p w14:paraId="7BAF9269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评分点</w:t>
            </w:r>
          </w:p>
        </w:tc>
        <w:tc>
          <w:tcPr>
            <w:tcW w:w="1630" w:type="dxa"/>
          </w:tcPr>
          <w:p w14:paraId="2A913EE5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权重/%</w:t>
            </w:r>
          </w:p>
        </w:tc>
      </w:tr>
      <w:tr w14:paraId="5DA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3F69EE15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88" w:type="dxa"/>
          </w:tcPr>
          <w:p w14:paraId="5E883366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论文选题情况</w:t>
            </w:r>
          </w:p>
        </w:tc>
        <w:tc>
          <w:tcPr>
            <w:tcW w:w="1630" w:type="dxa"/>
          </w:tcPr>
          <w:p w14:paraId="7273943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15</w:t>
            </w:r>
          </w:p>
        </w:tc>
      </w:tr>
      <w:tr w14:paraId="0BE0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4D2F762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788" w:type="dxa"/>
          </w:tcPr>
          <w:p w14:paraId="5550F307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文献利用分析情况</w:t>
            </w:r>
          </w:p>
        </w:tc>
        <w:tc>
          <w:tcPr>
            <w:tcW w:w="1630" w:type="dxa"/>
          </w:tcPr>
          <w:p w14:paraId="4BD6B02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  <w:tr w14:paraId="1FCF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BCFDF8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788" w:type="dxa"/>
          </w:tcPr>
          <w:p w14:paraId="37E16C3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论文难度及工作量</w:t>
            </w:r>
          </w:p>
        </w:tc>
        <w:tc>
          <w:tcPr>
            <w:tcW w:w="1630" w:type="dxa"/>
          </w:tcPr>
          <w:p w14:paraId="5297963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15</w:t>
            </w:r>
          </w:p>
        </w:tc>
      </w:tr>
      <w:tr w14:paraId="0F3C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C940145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788" w:type="dxa"/>
          </w:tcPr>
          <w:p w14:paraId="4F2E3EE7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论文的创新性</w:t>
            </w:r>
          </w:p>
        </w:tc>
        <w:tc>
          <w:tcPr>
            <w:tcW w:w="1630" w:type="dxa"/>
          </w:tcPr>
          <w:p w14:paraId="2A79D7D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0</w:t>
            </w:r>
          </w:p>
        </w:tc>
      </w:tr>
      <w:tr w14:paraId="7DD7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27BE7D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788" w:type="dxa"/>
          </w:tcPr>
          <w:p w14:paraId="66AC6EAC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理论知识基础</w:t>
            </w:r>
          </w:p>
        </w:tc>
        <w:tc>
          <w:tcPr>
            <w:tcW w:w="1630" w:type="dxa"/>
          </w:tcPr>
          <w:p w14:paraId="49C50F21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20</w:t>
            </w:r>
          </w:p>
        </w:tc>
      </w:tr>
      <w:tr w14:paraId="1FEC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0093F55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788" w:type="dxa"/>
          </w:tcPr>
          <w:p w14:paraId="1364665A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科研能力</w:t>
            </w:r>
          </w:p>
        </w:tc>
        <w:tc>
          <w:tcPr>
            <w:tcW w:w="1630" w:type="dxa"/>
          </w:tcPr>
          <w:p w14:paraId="6E878A7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  <w:tr w14:paraId="0FF9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0B0B6CD6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2788" w:type="dxa"/>
          </w:tcPr>
          <w:p w14:paraId="22FCF9F2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论文写作水平</w:t>
            </w:r>
          </w:p>
        </w:tc>
        <w:tc>
          <w:tcPr>
            <w:tcW w:w="1630" w:type="dxa"/>
          </w:tcPr>
          <w:p w14:paraId="1F7C6829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  <w:tr w14:paraId="7E4D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 w14:paraId="7721450F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2788" w:type="dxa"/>
          </w:tcPr>
          <w:p w14:paraId="28CDBDE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论文规范情况</w:t>
            </w:r>
          </w:p>
        </w:tc>
        <w:tc>
          <w:tcPr>
            <w:tcW w:w="1630" w:type="dxa"/>
          </w:tcPr>
          <w:p w14:paraId="7611547A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10</w:t>
            </w:r>
          </w:p>
        </w:tc>
      </w:tr>
    </w:tbl>
    <w:p w14:paraId="58E88B04">
      <w:pPr>
        <w:numPr>
          <w:ilvl w:val="0"/>
          <w:numId w:val="0"/>
        </w:numPr>
        <w:rPr>
          <w:rFonts w:ascii="Times New Roman" w:hAnsi="Times New Roman" w:cs="Times New Roman"/>
          <w:color w:val="auto"/>
          <w:szCs w:val="32"/>
          <w:highlight w:val="none"/>
        </w:rPr>
      </w:pPr>
    </w:p>
    <w:p w14:paraId="0656DFE0">
      <w:pPr>
        <w:numPr>
          <w:ilvl w:val="0"/>
          <w:numId w:val="1"/>
        </w:numPr>
        <w:ind w:firstLine="643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每名学生答辩时间</w:t>
      </w:r>
      <w:r>
        <w:rPr>
          <w:rFonts w:hint="eastAsia" w:ascii="Times New Roman" w:hAnsi="Times New Roman" w:cs="Times New Roman"/>
          <w:color w:val="auto"/>
          <w:highlight w:val="none"/>
        </w:rPr>
        <w:t>一般</w:t>
      </w:r>
      <w:r>
        <w:rPr>
          <w:rFonts w:ascii="Times New Roman" w:hAnsi="Times New Roman" w:cs="Times New Roman"/>
          <w:color w:val="auto"/>
          <w:highlight w:val="none"/>
        </w:rPr>
        <w:t>控制在10-15分钟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。</w:t>
      </w:r>
      <w:r>
        <w:rPr>
          <w:rFonts w:ascii="Times New Roman" w:hAnsi="Times New Roman" w:cs="Times New Roman"/>
          <w:color w:val="auto"/>
          <w:kern w:val="0"/>
          <w:szCs w:val="32"/>
          <w:highlight w:val="none"/>
        </w:rPr>
        <w:t>答辩成绩采用百分制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lang w:eastAsia="zh-CN"/>
        </w:rPr>
        <w:t>，</w:t>
      </w:r>
      <w:r>
        <w:rPr>
          <w:rFonts w:ascii="Times New Roman" w:hAnsi="Times New Roman" w:cs="Times New Roman"/>
          <w:color w:val="auto"/>
          <w:szCs w:val="32"/>
          <w:highlight w:val="none"/>
        </w:rPr>
        <w:t>对答辩委员会全体成员的打分取平均值作为学生的答辩成绩。答辩成绩评定标准如下：</w:t>
      </w:r>
    </w:p>
    <w:p w14:paraId="390D4FC6">
      <w:pPr>
        <w:numPr>
          <w:ilvl w:val="0"/>
          <w:numId w:val="0"/>
        </w:numPr>
        <w:rPr>
          <w:rFonts w:ascii="Times New Roman" w:hAnsi="Times New Roman" w:cs="Times New Roman"/>
          <w:color w:val="auto"/>
          <w:szCs w:val="32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260"/>
        <w:gridCol w:w="1526"/>
      </w:tblGrid>
      <w:tr w14:paraId="26E5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3" w:type="dxa"/>
            <w:vAlign w:val="center"/>
          </w:tcPr>
          <w:p w14:paraId="4C87284B">
            <w:pPr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32" w:type="dxa"/>
            <w:vAlign w:val="center"/>
          </w:tcPr>
          <w:p w14:paraId="2895E3BF">
            <w:pPr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答辩考核点</w:t>
            </w:r>
          </w:p>
        </w:tc>
        <w:tc>
          <w:tcPr>
            <w:tcW w:w="1551" w:type="dxa"/>
            <w:vAlign w:val="center"/>
          </w:tcPr>
          <w:p w14:paraId="26DCFD32">
            <w:pPr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权重</w:t>
            </w:r>
          </w:p>
        </w:tc>
      </w:tr>
      <w:tr w14:paraId="2AC2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F49C559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6432" w:type="dxa"/>
            <w:vAlign w:val="center"/>
          </w:tcPr>
          <w:p w14:paraId="7CABA05C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学生阐述论文内容情况（能否充分表达主要思想、目的意义、方法结论、对参考文献是否熟悉等）</w:t>
            </w:r>
          </w:p>
        </w:tc>
        <w:tc>
          <w:tcPr>
            <w:tcW w:w="1551" w:type="dxa"/>
            <w:vAlign w:val="center"/>
          </w:tcPr>
          <w:p w14:paraId="67A9E254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0%</w:t>
            </w:r>
          </w:p>
        </w:tc>
      </w:tr>
      <w:tr w14:paraId="0BA2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3" w:type="dxa"/>
            <w:vAlign w:val="center"/>
          </w:tcPr>
          <w:p w14:paraId="1E895757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432" w:type="dxa"/>
            <w:vAlign w:val="center"/>
          </w:tcPr>
          <w:p w14:paraId="0643A564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学生回答评委提问的情况</w:t>
            </w:r>
          </w:p>
        </w:tc>
        <w:tc>
          <w:tcPr>
            <w:tcW w:w="1551" w:type="dxa"/>
            <w:vAlign w:val="center"/>
          </w:tcPr>
          <w:p w14:paraId="7633D36A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0%</w:t>
            </w:r>
          </w:p>
        </w:tc>
      </w:tr>
      <w:tr w14:paraId="1EDF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4E69567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6432" w:type="dxa"/>
            <w:vAlign w:val="center"/>
          </w:tcPr>
          <w:p w14:paraId="2580CD19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学生现场表现情况（包括表达是否流畅、态度是否端正、着装是否得体等）</w:t>
            </w:r>
          </w:p>
        </w:tc>
        <w:tc>
          <w:tcPr>
            <w:tcW w:w="1551" w:type="dxa"/>
            <w:vAlign w:val="center"/>
          </w:tcPr>
          <w:p w14:paraId="5E815ED0"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>10%</w:t>
            </w:r>
          </w:p>
        </w:tc>
      </w:tr>
    </w:tbl>
    <w:p w14:paraId="57EEAD2F">
      <w:pPr>
        <w:ind w:firstLine="643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总评成绩由评阅成绩（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%）和答辩成绩（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70</w:t>
      </w:r>
      <w:r>
        <w:rPr>
          <w:rFonts w:ascii="Times New Roman" w:hAnsi="Times New Roman" w:cs="Times New Roman"/>
          <w:bCs/>
          <w:color w:val="auto"/>
          <w:kern w:val="0"/>
          <w:szCs w:val="32"/>
          <w:highlight w:val="none"/>
        </w:rPr>
        <w:t>%）两部分组成。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根据总评成绩分值，</w:t>
      </w:r>
      <w:r>
        <w:rPr>
          <w:rFonts w:ascii="Times New Roman" w:hAnsi="Times New Roman" w:cs="Times New Roman"/>
          <w:color w:val="auto"/>
          <w:szCs w:val="32"/>
          <w:highlight w:val="none"/>
        </w:rPr>
        <w:t>采用优秀、良好、中等、及格、不及格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进行</w:t>
      </w:r>
      <w:r>
        <w:rPr>
          <w:rFonts w:ascii="Times New Roman" w:hAnsi="Times New Roman" w:cs="Times New Roman"/>
          <w:color w:val="auto"/>
          <w:szCs w:val="32"/>
          <w:highlight w:val="none"/>
        </w:rPr>
        <w:t>五等级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评定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其中优秀100-90分，良好89-80分，中等79-70分，及格69-60分，不及格59分及以下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。</w:t>
      </w:r>
    </w:p>
    <w:p w14:paraId="3BC0181C">
      <w:pPr>
        <w:spacing w:line="560" w:lineRule="exact"/>
        <w:ind w:firstLine="643"/>
        <w:rPr>
          <w:rFonts w:hint="eastAsia" w:ascii="Times New Roman" w:hAnsi="Times New Roman" w:cs="Times New Roman"/>
          <w:b w:val="0"/>
          <w:bCs w:val="0"/>
          <w:color w:val="auto"/>
          <w:kern w:val="0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 xml:space="preserve">条 </w:t>
      </w:r>
      <w:r>
        <w:rPr>
          <w:rFonts w:hint="eastAsia" w:ascii="Times New Roman" w:hAnsi="Times New Roman" w:cs="Times New Roman"/>
          <w:b w:val="0"/>
          <w:bCs w:val="0"/>
          <w:color w:val="auto"/>
          <w:szCs w:val="32"/>
          <w:highlight w:val="none"/>
        </w:rPr>
        <w:t>学院从成绩评定为“优秀”的论文里排序推荐校级优秀毕业论文。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Cs w:val="32"/>
          <w:highlight w:val="none"/>
          <w:lang w:val="en-US" w:eastAsia="zh-CN"/>
        </w:rPr>
        <w:t>学院设立院级优秀本科毕业论文荣誉称号，名额不超过本单位应届学生答辩论文数的10%（含拟推荐校级优秀毕业论文）。</w:t>
      </w:r>
    </w:p>
    <w:p w14:paraId="73127BB7">
      <w:pPr>
        <w:spacing w:line="560" w:lineRule="exact"/>
        <w:ind w:firstLine="643"/>
        <w:rPr>
          <w:rFonts w:hint="eastAsia" w:ascii="Times New Roman" w:hAnsi="Times New Roman" w:cs="Times New Roman"/>
          <w:bCs/>
          <w:color w:val="auto"/>
          <w:kern w:val="0"/>
          <w:szCs w:val="32"/>
          <w:highlight w:val="yellow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Cs w:val="32"/>
          <w:highlight w:val="none"/>
          <w:lang w:val="en-US" w:eastAsia="zh-CN"/>
        </w:rPr>
        <w:t>学院综合学生成绩、论文研究方向等因素对具有答辩资格的应届生统筹安排答辩小组。院级、校级优秀毕业论文名额根据学生所在答辩组人数所占比例分配，由各答辩小组组织遴选。对于各答辩小组遴选的校级优秀毕业论文，学院根据毕业论文总评成绩（百分制）高到低进行排序推荐。如遇总评成绩相同的情况，则按答辩成绩从高到低排序。如遇按上述规则仍无法确定排序唯一，由学院本科教育与学位专门委员会审议确定。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</w:rPr>
        <w:t>拟推荐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校级优秀毕业论文与院级优秀毕业论文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</w:rPr>
        <w:t>名单在本单位内进行公示，公示期不少于5日。</w:t>
      </w:r>
    </w:p>
    <w:p w14:paraId="6150ECD0">
      <w:pPr>
        <w:spacing w:line="560" w:lineRule="exact"/>
        <w:ind w:firstLine="643"/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0"/>
          <w:szCs w:val="32"/>
          <w:highlight w:val="none"/>
          <w:lang w:val="en-US" w:eastAsia="zh-CN"/>
        </w:rPr>
        <w:t>第十三条</w:t>
      </w: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 xml:space="preserve"> 申请在校外实习单位或合作单位完成毕业论文的学生，必须经学院主管教学领导审批。校外导师须是教师、科研人员或工程技术人员，所在单位应为高等院校、科研院所或其他企事业单位，学院同时配备校内导师（第一导师）共同指导该生的毕业论文，实行“双导师制”，以保证论文质量。</w:t>
      </w:r>
    </w:p>
    <w:p w14:paraId="5C60FBE3">
      <w:pPr>
        <w:spacing w:line="560" w:lineRule="exact"/>
        <w:ind w:firstLine="643"/>
        <w:rPr>
          <w:rFonts w:hint="default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kern w:val="0"/>
          <w:szCs w:val="32"/>
          <w:highlight w:val="none"/>
          <w:lang w:val="en-US" w:eastAsia="zh-CN"/>
        </w:rPr>
        <w:t>校外完成毕业论文的，须按本管理细则相关要求完成选题、开题、过程检查、评阅、查重等工作，且须参加本校组织的毕业论文答辩，方可取得成绩。</w:t>
      </w:r>
    </w:p>
    <w:p w14:paraId="0107A06E">
      <w:pPr>
        <w:pStyle w:val="3"/>
        <w:ind w:firstLine="643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cs="Times New Roman"/>
          <w:b/>
          <w:bCs/>
          <w:color w:val="auto"/>
          <w:szCs w:val="32"/>
          <w:highlight w:val="none"/>
        </w:rPr>
        <w:t xml:space="preserve">条 </w:t>
      </w:r>
      <w:r>
        <w:rPr>
          <w:rFonts w:ascii="Times New Roman" w:hAnsi="Times New Roman" w:cs="Times New Roman"/>
          <w:color w:val="auto"/>
          <w:szCs w:val="32"/>
          <w:highlight w:val="none"/>
        </w:rPr>
        <w:t>学院加强对毕业论文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的</w:t>
      </w:r>
      <w:r>
        <w:rPr>
          <w:rFonts w:ascii="Times New Roman" w:hAnsi="Times New Roman" w:cs="Times New Roman"/>
          <w:color w:val="auto"/>
          <w:szCs w:val="32"/>
          <w:highlight w:val="none"/>
        </w:rPr>
        <w:t>审核，严防严控意识形态风险，防范学术不端行为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，强化论文质量建设</w:t>
      </w:r>
      <w:r>
        <w:rPr>
          <w:rFonts w:ascii="Times New Roman" w:hAnsi="Times New Roman" w:cs="Times New Roman"/>
          <w:color w:val="auto"/>
          <w:szCs w:val="32"/>
          <w:highlight w:val="none"/>
        </w:rPr>
        <w:t>：</w:t>
      </w:r>
    </w:p>
    <w:p w14:paraId="0604D335">
      <w:pPr>
        <w:numPr>
          <w:ilvl w:val="0"/>
          <w:numId w:val="2"/>
        </w:numPr>
        <w:spacing w:line="560" w:lineRule="exact"/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ascii="Times New Roman" w:hAnsi="Times New Roman" w:cs="Times New Roman"/>
          <w:color w:val="auto"/>
          <w:szCs w:val="32"/>
          <w:highlight w:val="none"/>
        </w:rPr>
        <w:t>根据实际情况梳理毕业论文工作流程及风险点，制定相应防控措施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，督促工作落实，做好工作记录。</w:t>
      </w:r>
    </w:p>
    <w:p w14:paraId="1C076FF7">
      <w:pPr>
        <w:numPr>
          <w:ilvl w:val="0"/>
          <w:numId w:val="2"/>
        </w:numPr>
        <w:spacing w:line="560" w:lineRule="exact"/>
        <w:ind w:firstLine="640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组织院级督导员</w:t>
      </w:r>
      <w:r>
        <w:rPr>
          <w:rFonts w:ascii="Times New Roman" w:hAnsi="Times New Roman" w:cs="Times New Roman"/>
          <w:color w:val="auto"/>
          <w:szCs w:val="32"/>
          <w:highlight w:val="none"/>
        </w:rPr>
        <w:t>现场考察毕业论文答辩过程，对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答辩会</w:t>
      </w:r>
      <w:r>
        <w:rPr>
          <w:rFonts w:ascii="Times New Roman" w:hAnsi="Times New Roman" w:cs="Times New Roman"/>
          <w:color w:val="auto"/>
          <w:szCs w:val="32"/>
          <w:highlight w:val="none"/>
        </w:rPr>
        <w:t>组织情况、学生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论文质量、</w:t>
      </w:r>
      <w:r>
        <w:rPr>
          <w:rFonts w:ascii="Times New Roman" w:hAnsi="Times New Roman" w:cs="Times New Roman"/>
          <w:color w:val="auto"/>
          <w:szCs w:val="32"/>
          <w:highlight w:val="none"/>
        </w:rPr>
        <w:t>答辩情况、评委提问质量等方面进行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全面监督和评估</w:t>
      </w:r>
      <w:r>
        <w:rPr>
          <w:rFonts w:hint="eastAsia" w:ascii="仿宋_GB2312" w:hAnsi="仿宋_GB2312" w:cs="仿宋_GB2312"/>
          <w:bCs/>
          <w:color w:val="auto"/>
          <w:szCs w:val="32"/>
          <w:highlight w:val="none"/>
        </w:rPr>
        <w:t>。</w:t>
      </w:r>
    </w:p>
    <w:p w14:paraId="6B3FA12F">
      <w:pPr>
        <w:ind w:firstLine="640"/>
        <w:rPr>
          <w:rFonts w:ascii="Times New Roman" w:hAnsi="Times New Roman" w:cs="Times New Roman"/>
          <w:b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（三）</w:t>
      </w:r>
      <w:r>
        <w:rPr>
          <w:rFonts w:ascii="Times New Roman" w:hAnsi="Times New Roman" w:cs="Times New Roman"/>
          <w:color w:val="auto"/>
          <w:szCs w:val="32"/>
          <w:highlight w:val="none"/>
        </w:rPr>
        <w:t>定期听取关于论文选题、开题、中期检查、论文检测、评阅及答辩情况的汇报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。涉及毕业论文工作重要事项，按学院有关规定提交学院党委会、党政联席会议研究审议。</w:t>
      </w:r>
    </w:p>
    <w:p w14:paraId="58BC42C2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szCs w:val="32"/>
          <w:highlight w:val="none"/>
        </w:rPr>
        <w:t>第十</w:t>
      </w:r>
      <w:r>
        <w:rPr>
          <w:rFonts w:hint="eastAsia" w:ascii="Times New Roman" w:hAnsi="Times New Roman" w:cs="Times New Roman"/>
          <w:b/>
          <w:color w:val="auto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cs="Times New Roman"/>
          <w:b/>
          <w:color w:val="auto"/>
          <w:szCs w:val="32"/>
          <w:highlight w:val="none"/>
        </w:rPr>
        <w:t>条</w:t>
      </w:r>
      <w:r>
        <w:rPr>
          <w:rFonts w:ascii="Times New Roman" w:hAnsi="Times New Roman" w:cs="Times New Roman"/>
          <w:color w:val="auto"/>
          <w:szCs w:val="32"/>
          <w:highlight w:val="none"/>
        </w:rPr>
        <w:t xml:space="preserve"> 本细则经202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zCs w:val="32"/>
          <w:highlight w:val="none"/>
        </w:rPr>
        <w:t>年第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cs="Times New Roman"/>
          <w:color w:val="auto"/>
          <w:szCs w:val="32"/>
          <w:highlight w:val="none"/>
        </w:rPr>
        <w:t>次学院党政联席会审议通过，自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公布之日起</w:t>
      </w:r>
      <w:r>
        <w:rPr>
          <w:rFonts w:ascii="Times New Roman" w:hAnsi="Times New Roman" w:cs="Times New Roman"/>
          <w:color w:val="auto"/>
          <w:szCs w:val="32"/>
          <w:highlight w:val="none"/>
        </w:rPr>
        <w:t>开始执行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，由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理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学院负责解释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原《中山大学理学院本科生毕业论文工作管理细则》（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理学〔2024〕18号</w:t>
      </w:r>
      <w:r>
        <w:rPr>
          <w:rFonts w:hint="eastAsia" w:ascii="仿宋_GB2312" w:hAnsi="Calibri" w:cs="Times New Roman"/>
          <w:color w:val="000000" w:themeColor="text1"/>
          <w:kern w:val="2"/>
          <w:sz w:val="32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）同时废止。</w:t>
      </w:r>
      <w:r>
        <w:rPr>
          <w:rFonts w:ascii="Times New Roman" w:hAnsi="Times New Roman" w:cs="Times New Roman"/>
          <w:color w:val="auto"/>
          <w:szCs w:val="32"/>
          <w:highlight w:val="none"/>
        </w:rPr>
        <w:t>本细则未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作</w:t>
      </w:r>
      <w:r>
        <w:rPr>
          <w:rFonts w:ascii="Times New Roman" w:hAnsi="Times New Roman" w:cs="Times New Roman"/>
          <w:color w:val="auto"/>
          <w:szCs w:val="32"/>
          <w:highlight w:val="none"/>
        </w:rPr>
        <w:t>明确规定的事项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按照学校规定</w:t>
      </w:r>
      <w:r>
        <w:rPr>
          <w:rFonts w:ascii="Times New Roman" w:hAnsi="Times New Roman" w:cs="Times New Roman"/>
          <w:color w:val="auto"/>
          <w:highlight w:val="none"/>
        </w:rPr>
        <w:t>执行。</w:t>
      </w:r>
    </w:p>
    <w:p w14:paraId="55869A26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67F5461A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1FDFB7A1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13BFAA5E">
      <w:pPr>
        <w:widowControl/>
        <w:ind w:firstLine="643"/>
        <w:rPr>
          <w:rFonts w:ascii="Times New Roman" w:hAnsi="Times New Roman" w:cs="Times New Roman"/>
          <w:color w:val="auto"/>
          <w:highlight w:val="none"/>
        </w:rPr>
      </w:pPr>
    </w:p>
    <w:p w14:paraId="3021E0E8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021962A5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28B8102A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2357C543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73084B5A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169EBFF5">
      <w:pPr>
        <w:widowControl/>
        <w:ind w:left="0" w:leftChars="0"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451076CF">
      <w:pPr>
        <w:bidi w:val="0"/>
        <w:ind w:left="0" w:leftChars="0" w:firstLine="0" w:firstLineChars="0"/>
        <w:jc w:val="left"/>
        <w:rPr>
          <w:rFonts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2098" w:right="1800" w:bottom="204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80EC6B-72EB-450F-8874-9E696015DB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19EDA8-42E5-4A6A-BB41-E021CDFF336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EAC2D63-DD9E-4FFA-965E-B17EB89BCB0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1328026-479A-415F-A488-BF310A5F6F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8CCB">
    <w:pPr>
      <w:pStyle w:val="5"/>
      <w:wordWrap w:val="0"/>
      <w:ind w:firstLine="56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FAA26"/>
    <w:multiLevelType w:val="singleLevel"/>
    <w:tmpl w:val="03BFAA26"/>
    <w:lvl w:ilvl="0" w:tentative="0">
      <w:start w:val="10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691A6916"/>
    <w:multiLevelType w:val="singleLevel"/>
    <w:tmpl w:val="691A69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NjczMDY2ODI4YjdiMzRjZDk0NjJjMjhiMGZlYjQifQ=="/>
    <w:docVar w:name="KSO_WPS_MARK_KEY" w:val="b86ffb84-887d-4c64-8f30-80e695589505"/>
  </w:docVars>
  <w:rsids>
    <w:rsidRoot w:val="004131C9"/>
    <w:rsid w:val="000F3F3B"/>
    <w:rsid w:val="00152468"/>
    <w:rsid w:val="00197A3B"/>
    <w:rsid w:val="00263E88"/>
    <w:rsid w:val="00326ED8"/>
    <w:rsid w:val="003C62F8"/>
    <w:rsid w:val="00404167"/>
    <w:rsid w:val="004131C9"/>
    <w:rsid w:val="00420A4B"/>
    <w:rsid w:val="00442D20"/>
    <w:rsid w:val="004B1C96"/>
    <w:rsid w:val="004B6DE0"/>
    <w:rsid w:val="005A754E"/>
    <w:rsid w:val="005B56C4"/>
    <w:rsid w:val="00697D60"/>
    <w:rsid w:val="0070595B"/>
    <w:rsid w:val="00715086"/>
    <w:rsid w:val="00725B4B"/>
    <w:rsid w:val="007A05E3"/>
    <w:rsid w:val="0081055E"/>
    <w:rsid w:val="009A1486"/>
    <w:rsid w:val="00A77D1B"/>
    <w:rsid w:val="00AE1E0B"/>
    <w:rsid w:val="00C365D9"/>
    <w:rsid w:val="00C70A05"/>
    <w:rsid w:val="00CA065E"/>
    <w:rsid w:val="00E22595"/>
    <w:rsid w:val="00EC3B85"/>
    <w:rsid w:val="00EF3AAD"/>
    <w:rsid w:val="00F022E0"/>
    <w:rsid w:val="00F2716C"/>
    <w:rsid w:val="00F71AE4"/>
    <w:rsid w:val="00F84861"/>
    <w:rsid w:val="013605F2"/>
    <w:rsid w:val="01923883"/>
    <w:rsid w:val="035B108E"/>
    <w:rsid w:val="04F821EE"/>
    <w:rsid w:val="05E2368C"/>
    <w:rsid w:val="06641D4B"/>
    <w:rsid w:val="06F757B1"/>
    <w:rsid w:val="0775628D"/>
    <w:rsid w:val="078B681D"/>
    <w:rsid w:val="080E4484"/>
    <w:rsid w:val="09376272"/>
    <w:rsid w:val="09B52018"/>
    <w:rsid w:val="0A1212DD"/>
    <w:rsid w:val="0BDD1477"/>
    <w:rsid w:val="0C46190C"/>
    <w:rsid w:val="0CF95D44"/>
    <w:rsid w:val="0EB826B7"/>
    <w:rsid w:val="0F4B3308"/>
    <w:rsid w:val="1011745A"/>
    <w:rsid w:val="1017657C"/>
    <w:rsid w:val="129C1052"/>
    <w:rsid w:val="15FB0FA0"/>
    <w:rsid w:val="160A1E75"/>
    <w:rsid w:val="173E0892"/>
    <w:rsid w:val="17C253F6"/>
    <w:rsid w:val="18135448"/>
    <w:rsid w:val="18541803"/>
    <w:rsid w:val="195B397D"/>
    <w:rsid w:val="1AE52D5E"/>
    <w:rsid w:val="1B5E7755"/>
    <w:rsid w:val="1EFD7285"/>
    <w:rsid w:val="1FC55FF4"/>
    <w:rsid w:val="20987D18"/>
    <w:rsid w:val="20B2477A"/>
    <w:rsid w:val="20E029BA"/>
    <w:rsid w:val="21174881"/>
    <w:rsid w:val="22401962"/>
    <w:rsid w:val="22D4597F"/>
    <w:rsid w:val="23BA7BBC"/>
    <w:rsid w:val="24D672D6"/>
    <w:rsid w:val="24F07DE9"/>
    <w:rsid w:val="29673C78"/>
    <w:rsid w:val="2A4446B5"/>
    <w:rsid w:val="2F9462B2"/>
    <w:rsid w:val="2FCB0362"/>
    <w:rsid w:val="30EA24F4"/>
    <w:rsid w:val="31733FDB"/>
    <w:rsid w:val="31795854"/>
    <w:rsid w:val="3253093C"/>
    <w:rsid w:val="3727713D"/>
    <w:rsid w:val="383D0570"/>
    <w:rsid w:val="38C5498A"/>
    <w:rsid w:val="39EF30A2"/>
    <w:rsid w:val="3B0B3DCA"/>
    <w:rsid w:val="3BB6168A"/>
    <w:rsid w:val="3C12062F"/>
    <w:rsid w:val="3C7544A7"/>
    <w:rsid w:val="3CED2889"/>
    <w:rsid w:val="3D112008"/>
    <w:rsid w:val="3E0F0248"/>
    <w:rsid w:val="3E6C1099"/>
    <w:rsid w:val="3E842F48"/>
    <w:rsid w:val="3FB72CAA"/>
    <w:rsid w:val="3FD31C33"/>
    <w:rsid w:val="3FDE27A2"/>
    <w:rsid w:val="43080290"/>
    <w:rsid w:val="43397FDC"/>
    <w:rsid w:val="44906B3A"/>
    <w:rsid w:val="46B300A5"/>
    <w:rsid w:val="47CD33E9"/>
    <w:rsid w:val="48F77F5E"/>
    <w:rsid w:val="492139EC"/>
    <w:rsid w:val="4A8D60BE"/>
    <w:rsid w:val="4CC34DBA"/>
    <w:rsid w:val="4DB105CE"/>
    <w:rsid w:val="4F2E14A6"/>
    <w:rsid w:val="50250266"/>
    <w:rsid w:val="505B58B3"/>
    <w:rsid w:val="564C3CD5"/>
    <w:rsid w:val="56D47359"/>
    <w:rsid w:val="57902957"/>
    <w:rsid w:val="5924188C"/>
    <w:rsid w:val="59B7220B"/>
    <w:rsid w:val="5AD436FA"/>
    <w:rsid w:val="5AF80325"/>
    <w:rsid w:val="5B5060F6"/>
    <w:rsid w:val="5CC42BB4"/>
    <w:rsid w:val="5EC02813"/>
    <w:rsid w:val="60714E01"/>
    <w:rsid w:val="60F3350B"/>
    <w:rsid w:val="615A7643"/>
    <w:rsid w:val="6215237B"/>
    <w:rsid w:val="624F7F93"/>
    <w:rsid w:val="62706E07"/>
    <w:rsid w:val="63CC5849"/>
    <w:rsid w:val="64B452BD"/>
    <w:rsid w:val="64B461C1"/>
    <w:rsid w:val="671D44CC"/>
    <w:rsid w:val="67D45796"/>
    <w:rsid w:val="686D3D8F"/>
    <w:rsid w:val="69446962"/>
    <w:rsid w:val="69B20D62"/>
    <w:rsid w:val="6A7D1D85"/>
    <w:rsid w:val="6B781294"/>
    <w:rsid w:val="6C2F58B3"/>
    <w:rsid w:val="6CBA135D"/>
    <w:rsid w:val="6F70695D"/>
    <w:rsid w:val="712E63F7"/>
    <w:rsid w:val="719B5D00"/>
    <w:rsid w:val="71DB0573"/>
    <w:rsid w:val="71F71545"/>
    <w:rsid w:val="7265321D"/>
    <w:rsid w:val="72EB27F1"/>
    <w:rsid w:val="72F436E5"/>
    <w:rsid w:val="7306587D"/>
    <w:rsid w:val="73A025F8"/>
    <w:rsid w:val="74A40EAA"/>
    <w:rsid w:val="76062AA1"/>
    <w:rsid w:val="773C0AE0"/>
    <w:rsid w:val="79411351"/>
    <w:rsid w:val="7A5F1E97"/>
    <w:rsid w:val="7B7176F2"/>
    <w:rsid w:val="7D0D0D46"/>
    <w:rsid w:val="7D0D0D7D"/>
    <w:rsid w:val="7E313CDD"/>
    <w:rsid w:val="7F7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20" w:lineRule="exact"/>
      <w:ind w:firstLine="72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 w:line="560" w:lineRule="exact"/>
      <w:ind w:firstLine="0" w:firstLineChars="0"/>
      <w:jc w:val="center"/>
      <w:outlineLvl w:val="0"/>
    </w:pPr>
    <w:rPr>
      <w:rFonts w:eastAsia="黑体"/>
      <w:kern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autoRedefine/>
    <w:qFormat/>
    <w:uiPriority w:val="0"/>
    <w:pPr>
      <w:jc w:val="left"/>
    </w:pPr>
  </w:style>
  <w:style w:type="paragraph" w:styleId="4">
    <w:name w:val="Balloon Text"/>
    <w:basedOn w:val="1"/>
    <w:link w:val="1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6">
    <w:name w:val="annotation subject"/>
    <w:basedOn w:val="3"/>
    <w:next w:val="3"/>
    <w:link w:val="12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3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12">
    <w:name w:val="批注主题 字符"/>
    <w:basedOn w:val="11"/>
    <w:link w:val="6"/>
    <w:autoRedefine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3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样式1"/>
    <w:basedOn w:val="1"/>
    <w:qFormat/>
    <w:uiPriority w:val="0"/>
    <w:pPr>
      <w:autoSpaceDE/>
      <w:autoSpaceDN/>
      <w:jc w:val="center"/>
    </w:pPr>
    <w:rPr>
      <w:rFonts w:ascii="方正小标宋简体" w:hAnsi="Calibri" w:eastAsia="方正小标宋简体" w:cs="Times New Roman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2277</Words>
  <Characters>2341</Characters>
  <Lines>21</Lines>
  <Paragraphs>6</Paragraphs>
  <TotalTime>3</TotalTime>
  <ScaleCrop>false</ScaleCrop>
  <LinksUpToDate>false</LinksUpToDate>
  <CharactersWithSpaces>2356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2021-09-15T00:38:00Z</dcterms:created>
  <dc:creator>DELL</dc:creator>
  <cp:lastModifiedBy>Lin</cp:lastModifiedBy>
  <cp:lastPrinted>2021-10-26T08:32:00Z</cp:lastPrinted>
  <dcterms:modified xsi:type="dcterms:W3CDTF">2025-10-23T08:01:46Z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7FF2D921FD8745C5A34614D5693C627E_13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eyJoZGlkIjoiYjZjNjczMDY2ODI4YjdiMzRjZDk0NjJjMjhiMGZlYjQiLCJ1c2VySWQiOiIyNDg3MDk3MzEifQ==</vt:lpwstr>
  </property>
</Properties>
</file>